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районе-открылись-фонтаны"/>
    <w:p>
      <w:pPr>
        <w:pStyle w:val="Heading3"/>
      </w:pPr>
      <w:r>
        <w:t xml:space="preserve">В районе открылись фонтаны!!!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rPr>
          <w:bCs/>
          <w:b/>
        </w:rPr>
        <w:t xml:space="preserve">В районе открылись фонтаны по адресам: </w:t>
      </w:r>
    </w:p>
    <w:p>
      <w:pPr>
        <w:pStyle w:val="BodyText"/>
      </w:pPr>
      <w:r>
        <w:rPr>
          <w:bCs/>
          <w:b/>
        </w:rPr>
        <w:t xml:space="preserve">ул  Днепропетровская, владение 1 и ул.Красного Маяка, д.2 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http://chertanovocentr.mos.ru/consumer-market-and-economy/fair-at-ul-krasnogo-lighthouse-3-/detail/1031845.html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103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103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2025-03-11T19:11:58Z</dcterms:created>
  <dcterms:modified xsi:type="dcterms:W3CDTF">2025-03-11T19:11:58Z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