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2af5f824614372a788f9cec041fb07369d222"/>
    <w:p>
      <w:pPr>
        <w:pStyle w:val="Heading3"/>
      </w:pPr>
      <w:r>
        <w:t xml:space="preserve">Работы по уборке от снега и наледи дворовых территорий и объектов дорожного хозяйства (ОДХ)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На территории района продолжаются работы по уборке от снега и наледи дворовых территорий и объектов дорожного хозяйства (ОДХ). По состоянию на 28.11.2016 года ГБУ «Жилищник района Чертаново Центральное» израсходовано жидкого реагента – 3 067 т, твердого – 2 018 т, комбинированного – 2 463 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http://chertanovocentr.mos.ru/housing-and-communal-services-and-improvement/accomplishment-of-district/detail/4322113.html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322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322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2025-02-08T22:13:33Z</dcterms:created>
  <dcterms:modified xsi:type="dcterms:W3CDTF">2025-02-08T22:13:33Z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