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53e9249ece55d1b06e7d284323b0d6e628e3d"/>
    <w:p>
      <w:pPr>
        <w:pStyle w:val="Heading3"/>
      </w:pPr>
      <w:r>
        <w:t xml:space="preserve">Эвакуировано 52 единиц автотранспорта, имеющего признаки брошенного и разукомплектованного.</w:t>
      </w:r>
    </w:p>
    <w:p>
      <w:pPr>
        <w:pStyle w:val="FirstParagraph"/>
      </w:pPr>
      <w:r>
        <w:t xml:space="preserve">13.01.2017</w:t>
      </w:r>
    </w:p>
    <w:p>
      <w:pPr>
        <w:pStyle w:val="BodyText"/>
      </w:pPr>
      <w:r>
        <w:t xml:space="preserve">В 2016 году управой района Чертаново Центральное с территории района было эвакуировано 52 единиц автотранспорта, имеющего признаки брошенного и разукомплектованного. Из них 14 единиц выдано владельцам, 9 утилизировано в судебном порядке, 29 единиц автотранспорта в настоящее время находится на специализированной стоянке ГБУ «Автомобильные дороги ЮАО», из которых 19 единиц находится на стоянке более 3-х месяцев. Исковые заявления о признании 19 транспортных средств собственностью города Москвы подготовлены и направлены в Чертановский районный суд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http://chertanovocentr.mos.ru/housing-and-communal-services-and-improvement/accomplishment-of-district/detail/4665501.html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665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665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2024-08-24T04:00:02Z</dcterms:created>
  <dcterms:modified xsi:type="dcterms:W3CDTF">2024-08-24T04:00:02Z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