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7a9a80005634a36ac55d82906786dc5987dae"/>
    <w:p>
      <w:pPr>
        <w:pStyle w:val="Heading3"/>
      </w:pPr>
      <w:r>
        <w:t xml:space="preserve">Закуплено моющее средство «Торнадо» в количестве 2030 литров.</w:t>
      </w:r>
    </w:p>
    <w:p>
      <w:pPr>
        <w:pStyle w:val="FirstParagraph"/>
      </w:pPr>
      <w:r>
        <w:t xml:space="preserve">15.03.2017</w:t>
      </w:r>
    </w:p>
    <w:p>
      <w:pPr>
        <w:pStyle w:val="BodyText"/>
      </w:pPr>
      <w:r>
        <w:t xml:space="preserve">           Для проведения работ  по промывке улично-дорожной сети и дворовых территорий района ГБУ «Жилищник района Чертаново Центральное»  закуплено моющее средство «Торнадо» в количестве   2030 литров.</w:t>
      </w:r>
    </w:p>
    <w:p>
      <w:pPr>
        <w:pStyle w:val="BodyText"/>
      </w:pPr>
      <w:r>
        <w:t xml:space="preserve">           В соответствии с поручением заместителя Мэра Москвы в Правительстве Москвы П.П.Бирюкова и в целях приведения в надлежащее состояние улично-дорожной сети и дворовых территорий района                  14.03.2017 года силами  ГБУ «Жилищник района Чертаново Центральное» проводились работы по промывке моющим средством с последующей обильной промывкой водой асфальтобетонных и плиточных покрытий.</w:t>
      </w:r>
    </w:p>
    <w:p>
      <w:pPr>
        <w:pStyle w:val="BodyText"/>
      </w:pPr>
      <w:r>
        <w:t xml:space="preserve">          При проведении промывки задействовано 17 единиц техники и израсходовано 254 литра моющего средства.</w:t>
      </w:r>
    </w:p>
    <w:p>
      <w:pPr>
        <w:pStyle w:val="BodyText"/>
      </w:pPr>
      <w:r>
        <w:t xml:space="preserve"> 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http://chertanovocentr.mos.ru/housing-and-communal-services-and-improvement/accomplishment-of-district/detail/5238290.html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238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238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2025-02-08T21:12:15Z</dcterms:created>
  <dcterms:modified xsi:type="dcterms:W3CDTF">2025-02-08T21:12:15Z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