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f954a44bfc0b0e48ce9e8609baaf1a660e525"/>
    <w:p>
      <w:pPr>
        <w:pStyle w:val="Heading3"/>
      </w:pPr>
      <w:r>
        <w:t xml:space="preserve">На территории района выполнялись работы по промывке моющим средством всех асфальтобетонных и плиточных покрытий.</w:t>
      </w:r>
    </w:p>
    <w:p>
      <w:pPr>
        <w:pStyle w:val="FirstParagraph"/>
      </w:pPr>
      <w:r>
        <w:t xml:space="preserve">27.06.2017</w:t>
      </w:r>
    </w:p>
    <w:p>
      <w:pPr>
        <w:pStyle w:val="BodyText"/>
      </w:pPr>
      <w:r>
        <w:t xml:space="preserve">          В  целях приведения в надлежащее санитарное состояние улично-дорожной сети, тротуаров, дворовых территорий района и в соответствии с поручением заместителя Мэра Москвы в Правительстве Москвы П.П.Бирюкова 25.06.2017 года с 9-00 чаосв силами ГБУ «Жилищник района Чертаново Центральное» на территории района выполнялись работы по промывке моющим средством всех асфальтобетонных и плиточных покрытий на всю ширину проезжей части дорог с прилегающими парковками, тротуаров, тротуарах и дворовых территориях и парковок автотранспорта во дворах. В процессе промывки израсходовано 240 литров моющего средства.</w:t>
      </w:r>
    </w:p>
    <w:p>
      <w:pPr>
        <w:pStyle w:val="BodyText"/>
      </w:pPr>
      <w:r>
        <w:t xml:space="preserve">         В 12-00 чаосв проводились работы по обильной промывке водой всех вышеуказанных объектов.</w:t>
      </w:r>
    </w:p>
    <w:p>
      <w:pPr>
        <w:pStyle w:val="BodyText"/>
      </w:pPr>
      <w:r>
        <w:t xml:space="preserve">         АО «Мосводоканал» обеспечивал бесперебойную работу гидрантов для заправки водой поливо-моечной техники.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http://chertanovocentr.mos.ru/housing-and-communal-services-and-improvement/accomplishment-of-district/detail/6311985.html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6311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6311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2024-08-04T12:22:23Z</dcterms:created>
  <dcterms:modified xsi:type="dcterms:W3CDTF">2024-08-04T12:22:23Z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