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11618c7282c8a071759612634b1e1362da4f1"/>
    <w:p>
      <w:pPr>
        <w:pStyle w:val="Heading3"/>
      </w:pPr>
      <w:r>
        <w:t xml:space="preserve">В рамках выполнения программы благоустройства на дворовой территории</w:t>
      </w:r>
    </w:p>
    <w:p>
      <w:pPr>
        <w:pStyle w:val="FirstParagraph"/>
      </w:pPr>
      <w:r>
        <w:t xml:space="preserve">20.01.2018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В рамках выполнения программы благоустройства за счет средств стимулирования управы района на дворовой территории по адресу: ул.Кировоградская, дом 18, корпус 2 выполнены работы: по ремонту АБП, новой контейнерной площадке с отсеком для хранения ПГМ, по установке искусственного покрытия и  новых МАФ на детской площадке.</w:t>
      </w:r>
    </w:p>
    <w:p>
      <w:pPr>
        <w:pStyle w:val="BodyText"/>
      </w:pPr>
      <w:r>
        <w:t xml:space="preserve">          Детская площадка была благоустроена по итогам голосования жителей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http://chertanovocentr.mos.ru/housing-and-communal-services-and-improvement/accomplishment-of-district/detail/7098958.html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098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7098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2025-02-06T18:48:01Z</dcterms:created>
  <dcterms:modified xsi:type="dcterms:W3CDTF">2025-02-06T18:48:01Z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