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8a3a6091ba49656b179f142957d375884d878"/>
    <w:p>
      <w:pPr>
        <w:pStyle w:val="Heading3"/>
      </w:pPr>
      <w:r>
        <w:t xml:space="preserve">Список незаконно размещенных объектов, подлежащих демонтажу.</w:t>
      </w:r>
    </w:p>
    <w:p>
      <w:pPr>
        <w:pStyle w:val="FirstParagraph"/>
      </w:pPr>
      <w:r>
        <w:t xml:space="preserve">10.01.2024</w:t>
      </w:r>
    </w:p>
    <w:p>
      <w:pPr>
        <w:pStyle w:val="BodyText"/>
      </w:pPr>
      <w:r>
        <w:rPr>
          <w:bCs/>
          <w:b/>
        </w:rPr>
        <w:t xml:space="preserve">09.01.2024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соответствии с решением Окружной комиссии по пресечению самовольного строительства на территории ЮАО города Москвы, принятым 26.12.2023 года, на территории района Чертаново Центральное города Москвы подлежат демонтажу в порядке, предусмотренном постановлением Правительства Москвы от 02.11.2012 № 614-ПП, незаконно размещенные объекты, расположенные по адресам: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Тип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Владелец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Кировоградская ул., вл.32, корп.3</w:t>
            </w:r>
          </w:p>
        </w:tc>
        <w:tc>
          <w:tcPr/>
          <w:p>
            <w:pPr>
              <w:jc w:val="left"/>
            </w:pPr>
            <w:r>
              <w:t xml:space="preserve">металлический тент</w:t>
            </w:r>
          </w:p>
        </w:tc>
        <w:tc>
          <w:tcPr/>
          <w:p>
            <w:pPr>
              <w:jc w:val="left"/>
            </w:pPr>
            <w:r>
              <w:t xml:space="preserve">физическое лицо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Кировоградская ул., вл.28, стр.1А</w:t>
            </w:r>
          </w:p>
        </w:tc>
        <w:tc>
          <w:tcPr/>
          <w:p>
            <w:pPr>
              <w:jc w:val="left"/>
            </w:pPr>
            <w:r>
              <w:t xml:space="preserve">шлагбаум, бетонные блоки с металлической цепью</w:t>
            </w:r>
          </w:p>
        </w:tc>
        <w:tc>
          <w:tcPr/>
          <w:p>
            <w:pPr>
              <w:jc w:val="left"/>
            </w:pPr>
            <w:r>
              <w:t xml:space="preserve">не установлен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Днепропетровская ул., вл.32, корп.3</w:t>
            </w:r>
          </w:p>
        </w:tc>
        <w:tc>
          <w:tcPr/>
          <w:p>
            <w:pPr>
              <w:jc w:val="left"/>
            </w:pPr>
            <w:r>
              <w:t xml:space="preserve">металлическое строение голубятни</w:t>
            </w:r>
          </w:p>
        </w:tc>
        <w:tc>
          <w:tcPr/>
          <w:p>
            <w:pPr>
              <w:jc w:val="left"/>
            </w:pPr>
            <w:r>
              <w:t xml:space="preserve">не установлен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Красного Маяка ул., дом 11, корп.1, стр.5</w:t>
            </w:r>
          </w:p>
        </w:tc>
        <w:tc>
          <w:tcPr/>
          <w:p>
            <w:pPr>
              <w:jc w:val="left"/>
            </w:pPr>
            <w:r>
              <w:t xml:space="preserve">металлический гараж</w:t>
            </w:r>
          </w:p>
        </w:tc>
        <w:tc>
          <w:tcPr/>
          <w:p>
            <w:pPr>
              <w:jc w:val="left"/>
            </w:pPr>
            <w:r>
              <w:t xml:space="preserve">физическое лицо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Демонтированные объекты (их конструктивные элементы) подлежат хранению в течении 6-ти месяцев по адресу: ул.Дорожная, вл.3.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Глава управы                                                                                           Г.В. Мокан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Гавриленко В.В.</w:t>
      </w:r>
    </w:p>
    <w:p>
      <w:pPr>
        <w:pStyle w:val="BodyText"/>
      </w:pPr>
      <w:r>
        <w:t xml:space="preserve">389-16-44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http://chertanovocentr.mos.ru/housing-and-communal-services-and-improvement/detail/12094698.html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094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094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2025-01-29T13:55:13Z</dcterms:created>
  <dcterms:modified xsi:type="dcterms:W3CDTF">2025-01-29T13:55:13Z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