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1f4ee6c4a67a7445a83e6c57ca4067621658fb"/>
    <w:p>
      <w:pPr>
        <w:pStyle w:val="Heading3"/>
      </w:pPr>
      <w:r>
        <w:t xml:space="preserve">Распоряжение от 28.02.2024 о назначении ГБУ "Жилищник" временной управляющей организацией в мкд по адресу: г. Москва, ул. Чертановская д. 29 к.2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drawing>
          <wp:inline>
            <wp:extent cx="5334000" cy="75407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2024-02-28-0004%5B1%5D_000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07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centr.mos.ru/www/2024-02-28-0004%5B1%5D_0000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http://chertanovocentr.mos.ru/housing-and-communal-services-and-improvement/detail/12196161.html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chertanovocentr.mos.ru" TargetMode="External" /><Relationship Type="http://schemas.openxmlformats.org/officeDocument/2006/relationships/hyperlink" Id="rId26" Target="http://chertanovocentr.mos.ru/housing-and-communal-services-and-improvement/detail/12196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tanovocentr.mos.ru" TargetMode="External" /><Relationship Type="http://schemas.openxmlformats.org/officeDocument/2006/relationships/hyperlink" Id="rId26" Target="http://chertanovocentr.mos.ru/housing-and-communal-services-and-improvement/detail/12196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2025-02-20T18:05:14Z</dcterms:created>
  <dcterms:modified xsi:type="dcterms:W3CDTF">2025-02-20T18:05:14Z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