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4098cc5e99b6541dcdd678f00eb1730bcfe85"/>
    <w:p>
      <w:pPr>
        <w:pStyle w:val="Heading3"/>
      </w:pPr>
      <w:r>
        <w:t xml:space="preserve">Столичный Роскадастр продолжает работу по оцифровке реестровых дел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перевода в электронный вид реестровых дел в 2024 году</w:t>
      </w:r>
    </w:p>
    <w:p>
      <w:pPr>
        <w:pStyle w:val="BodyText"/>
      </w:pPr>
      <w:r>
        <w:rPr>
          <w:bCs/>
          <w:b/>
        </w:rP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2 месяца 2024 года экспертами оцифровано более 15 тысяч реестровых дел. Перевод документов в «цифру» позволит сократить сроки оказания государственных услуг за счет обеспечения оперативного доступа к данным.</w:t>
      </w:r>
    </w:p>
    <w:p>
      <w:pPr>
        <w:pStyle w:val="BodyText"/>
      </w:pPr>
      <w:r>
        <w:rPr>
          <w:iCs/>
          <w:i/>
        </w:rPr>
        <w:t xml:space="preserve">«В текущем году в рамках перевода документов в электронный вид нашими сотрудниками оцифровано более 350 тысяч страниц реестровых дел. Перевод в электронный вид исключает риски утраты или порчи документов, а также облегчает доступ к архивным документам,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 –</w:t>
      </w:r>
      <w:r>
        <w:t xml:space="preserve"> </w:t>
      </w:r>
      <w:r>
        <w:rPr>
          <w:iCs/>
          <w:i/>
        </w:rPr>
        <w:t xml:space="preserve">Переход к цифровому формату позволяет сократить финансовые издержки, связанные с хранением бумаги и арендой помещений под архив».</w:t>
      </w:r>
    </w:p>
    <w:p>
      <w:pPr>
        <w:pStyle w:val="BodyText"/>
      </w:pPr>
      <w:r>
        <w:t xml:space="preserve">Отметим, что все созданные цифровые файлы заверяются электронной подписью специалиста архива и имеют такую же юридическую силу, что и бумажные документы. Электронный архивный фонд столичного Роскадастра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http://chertanovocentr.mos.ru/housing-and-communal-services-and-improvement/detail/12203891.html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203891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www.gosuslugi.ru/help/faq/egrn/200901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203891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www.gosuslugi.ru/help/faq/egrn/200901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2025-02-18T21:42:34Z</dcterms:created>
  <dcterms:modified xsi:type="dcterms:W3CDTF">2025-02-18T21:42:34Z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