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2c5b816e6fe65bef84efc02291f42f155ae93"/>
    <w:p>
      <w:pPr>
        <w:pStyle w:val="Heading3"/>
      </w:pPr>
      <w:r>
        <w:t xml:space="preserve">Рафик Загрутдинов: 3 жилых дома строят и проектируют по программе реновации в Троицке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rPr>
          <w:bCs/>
          <w:b/>
        </w:rPr>
        <w:t xml:space="preserve">«Сегодня на территории г.о. Троицк для переселения по программе реновации строят и проектируют 3 жилых дома. В стадии строительства находятся два жилых, в проектировании - еще один объект жилой площадью 6,5 тыс. квадратных метров»,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«Со старта программы в Троицке введены два жилых корпуса на улице Академика Черенкова, дома 15 и 17. Всего в г.о. Троицк новые квартиры по программе реновации получат жители 17 старых домов»,</w:t>
      </w:r>
      <w:r>
        <w:t xml:space="preserve"> </w:t>
      </w:r>
      <w:r>
        <w:t xml:space="preserve">- также добавил Рафик Загрутдинов.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пять лет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пяти-семи миллионов квадратных метров в год.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http://chertanovocentr.mos.ru/housing-and-communal-services-and-improvement/detail/12307085.html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07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07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2025-02-21T16:12:52Z</dcterms:created>
  <dcterms:modified xsi:type="dcterms:W3CDTF">2025-02-21T16:12:52Z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