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678dfa418dfc23d2b6ae351e3d50b5a26946f"/>
    <w:p>
      <w:pPr>
        <w:pStyle w:val="Heading3"/>
      </w:pPr>
      <w:r>
        <w:t xml:space="preserve">В соответствии с решением Окружной комиссии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В соответствии с решением Окружной комиссии по пресечению самовольного строительства на территории ЮАО города Москвы, принятым 05.04.2024 года, на территории района Чертаново Центральное города Москвы подлежат демонтажу в порядке, предусмотренном постановлением Правительства Москвы от 02.11.2012 № 614-ПП, незаконно размещенные объекты, расположенные по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Владелец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дом 11, корп.1, стр.5</w:t>
            </w:r>
          </w:p>
        </w:tc>
        <w:tc>
          <w:tcPr/>
          <w:p>
            <w:pPr>
              <w:jc w:val="left"/>
            </w:pPr>
            <w:r>
              <w:t xml:space="preserve">кирпичные гаражи</w:t>
            </w:r>
          </w:p>
        </w:tc>
        <w:tc>
          <w:tcPr/>
          <w:p>
            <w:pPr>
              <w:jc w:val="left"/>
            </w:pPr>
            <w:r>
              <w:t xml:space="preserve">физические лица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Чертановская ул., вл.32, стр.3</w:t>
            </w:r>
          </w:p>
        </w:tc>
        <w:tc>
          <w:tcPr/>
          <w:p>
            <w:pPr>
              <w:jc w:val="left"/>
            </w:pPr>
            <w:r>
              <w:t xml:space="preserve">железобетонная фундаментная плита</w:t>
            </w:r>
          </w:p>
        </w:tc>
        <w:tc>
          <w:tcPr/>
          <w:p>
            <w:pPr>
              <w:jc w:val="left"/>
            </w:pPr>
            <w:r>
              <w:t xml:space="preserve">не установлен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Демонтированные объекты (их конструктивные элементы) подлежат хранению в течении 6-ти месяцев по адресу: ул.Дорожная, вл.3.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http://chertanovocentr.mos.ru/housing-and-communal-services-and-improvement/detail/12320655.html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20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20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2025-02-20T07:35:55Z</dcterms:created>
  <dcterms:modified xsi:type="dcterms:W3CDTF">2025-02-20T07:35:55Z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