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  <Override PartName="/word/media/rId29.jpg" ContentType="image/jpe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1a2140c6bfcabd4187daf8c84741d566dc358f"/>
    <w:p>
      <w:pPr>
        <w:pStyle w:val="Heading3"/>
      </w:pPr>
      <w:r>
        <w:t xml:space="preserve">Свыше 6 млн квадратных метров земельных участков оформлено московским Росреестром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Более 6 млн квадратных метров земельных участков оформлено за прошлый год в рамках штабной деятельности Управления со столичными органами власти.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«Одним из ключевых направлений деятельности Управления остается снижение административных барьеров. Так, в рамках действующих штабов совместно со столичным Градостроительным комплексом и московским филиалом Роскадастра ведется активная работа по упрощению учетно-регистрационных процедур и оперативному вводу объектов в эксплуатацию, что способствует оптимизации процессов и повышению эффективности работы с недвижимостью в регионе»,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на заседании коллегии Управления.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Только за 2024 год благодаря взаимодействию с Управлением в рамках Штаба по объектам жилищно-коммунального хозяйства удалось зарегистрировать права и поставить на кадастровый учет 458 зданий общей площадью 97 тыс. кв. м, а также свыше 1 тыс. км инженерных сооружений.</w:t>
      </w:r>
    </w:p>
    <w:p>
      <w:pPr>
        <w:pStyle w:val="BodyText"/>
      </w:pPr>
      <w:r>
        <w:drawing>
          <wp:inline>
            <wp:extent cx="5334000" cy="29824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1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2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Эффективное управление земельными ресурсами и комплексное развитие территорий во многом зависит от полноты и достоверности информации о границах, содержащихся в реестре недвижимости. По словам</w:t>
      </w:r>
      <w:r>
        <w:t xml:space="preserve"> </w:t>
      </w:r>
      <w:r>
        <w:rPr>
          <w:bCs/>
          <w:b/>
        </w:rPr>
        <w:t xml:space="preserve">директора филиала ППК «Роскадастр» по Москве Елены Спиридоновой</w:t>
      </w:r>
      <w:r>
        <w:t xml:space="preserve">, за 2024 год было внесено более 14 тыс. сведений о границах объектов, что на 45% больше предыдущего периода.</w:t>
      </w:r>
    </w:p>
    <w:p>
      <w:pPr>
        <w:pStyle w:val="BodyText"/>
      </w:pPr>
      <w:r>
        <w:drawing>
          <wp:inline>
            <wp:extent cx="5334000" cy="29940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centr.mos.ru/www/111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0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«Особо хочу отметить, что в прошлом году мы внесли 44 границы муниципальных образований, выполнив в полном объеме план-график Росреестра на 2024 год. Совместными с Управлением усилиями перевыполнили плановые показатели по исправлению реестровых ошибок и внесению в Единый государственный реестр недвижимости ранее учтенных объектов недвижимости, расположенных на новых территориях»,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centr.mos.ru/www/111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марта текущего года Росреестр полностью перешел на электронное взаимодействие с юридическими лицами, в том числе застройщиками, при подаче заявлений на оформление недвижимости, включая регистрацию договоров участия в долевом строительстве.</w:t>
      </w:r>
    </w:p>
    <w:p>
      <w:pPr>
        <w:pStyle w:val="BodyText"/>
      </w:pPr>
      <w:r>
        <w:t xml:space="preserve">В настоящее время ведомством внедрен веб-сервис прямого доступа к ФГИС ЕГРН, который обеспечивает полный цикл оказания электронных услуг ведомства в режиме 24/7 – от подачи запроса и информирования о ходе исполнения услуги до предоставления результата в виде электронного документа.</w:t>
      </w:r>
      <w:r>
        <w:t xml:space="preserve"> </w:t>
      </w:r>
      <w:r>
        <w:rPr>
          <w:iCs/>
          <w:i/>
        </w:rPr>
        <w:t xml:space="preserve">«При этом главный акцент сделан на качестве и скорости оказания услуг, чтобы обеспечить совершенствовани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http://chertanovocentr.mos.ru/housing-and-communal-services-and-improvement/detail/12888145.html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image" Id="rId29" Target="media/rId29.jpg" /><Relationship Type="http://schemas.openxmlformats.org/officeDocument/2006/relationships/image" Id="rId26" Target="media/rId26.png" /><Relationship Type="http://schemas.openxmlformats.org/officeDocument/2006/relationships/hyperlink" Id="rId33" Target="http://chertanovocentr.mos.ru" TargetMode="External" /><Relationship Type="http://schemas.openxmlformats.org/officeDocument/2006/relationships/hyperlink" Id="rId32" Target="http://chertanovocentr.mos.ru/housing-and-communal-services-and-improvement/detail/12888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centr.mos.ru" TargetMode="External" /><Relationship Type="http://schemas.openxmlformats.org/officeDocument/2006/relationships/hyperlink" Id="rId32" Target="http://chertanovocentr.mos.ru/housing-and-communal-services-and-improvement/detail/12888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2025-04-06T06:37:57Z</dcterms:created>
  <dcterms:modified xsi:type="dcterms:W3CDTF">2025-04-06T06:37:57Z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