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d1846973a003181aa865c3ca4e68490f6f8285"/>
    <w:p>
      <w:pPr>
        <w:pStyle w:val="Heading3"/>
      </w:pPr>
      <w:r>
        <w:t xml:space="preserve">Подробная информация о назначении контейнеров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 настоящее время на территории района все площадки по сбору и накоплению отходов брендированы (окрашены в синий и серый цвет) для реализации программы по раздельному сбору мусора на территории города Москвы.</w:t>
      </w:r>
    </w:p>
    <w:p>
      <w:pPr>
        <w:pStyle w:val="BodyText"/>
      </w:pPr>
      <w:r>
        <w:t xml:space="preserve">Подробная информация о назначении контейнеров в соответствии с цветовым обозначением размещена на информационных стендах в подъездах многоквартирных домов, буклеты помещены в почтовые ящики.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304/8e5c1c08_56cb_48fa_a566_1a35566270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a8e/33b5525a_d5f5_485a_8351_1ac1c4343f8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19b/039afd6d_bc68_43dd_8cb6_35884b98b3f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Управа района Чертаново Центральное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http://chertanovocentr.mos.ru/housing-and-communal-services-and-improvement/detail/8465121.html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housing-and-communal-services-and-improvement/detail/8465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housing-and-communal-services-and-improvement/detail/8465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2025-02-09T01:26:48Z</dcterms:created>
  <dcterms:modified xsi:type="dcterms:W3CDTF">2025-02-09T01:26:48Z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