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c704d847fe0f17edaab3e7101ebbf4b1e6d7"/>
    <w:p>
      <w:pPr>
        <w:pStyle w:val="Heading3"/>
      </w:pPr>
      <w:r>
        <w:t xml:space="preserve">На территории района Чертаново Центральное продолжается подготовка объектов к эксплуатации в осенне-зимний период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На территории района Чертаново Центральное продолжается подготовка объектов жилого (177 домов) к эксплуатации в осенне-зимний период 2016-2017 гг. в соответствии с графиком.</w:t>
      </w:r>
    </w:p>
    <w:p>
      <w:pPr>
        <w:pStyle w:val="BodyText"/>
      </w:pPr>
      <w:r>
        <w:t xml:space="preserve">По состоянию на 29.07.2016 года ресурсоснабжающей организацией ОАО «МОЭК» принято 162 объетов жилого фонда и сдано инспектору Жилищной инспекции ЮАО города Москвы 132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http://chertanovocentr.mos.ru/housing-and-communal-services-and-improvement/gup-des-district-chertanovo-central/detail/3436350.html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3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3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2025-02-20T00:53:23Z</dcterms:created>
  <dcterms:modified xsi:type="dcterms:W3CDTF">2025-02-20T00:53:23Z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