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1fdcbd9ceccf4e80bc3fb212e8379ffba0465"/>
    <w:p>
      <w:pPr>
        <w:pStyle w:val="Heading3"/>
      </w:pPr>
      <w:r>
        <w:t xml:space="preserve">К зимнему периоду на дворовых территориях района Чертаново Центральное силами ГБУ «Жилищник»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t xml:space="preserve">В рамках подготовки района Чертаново Центральное к зимнему периоду на дворовых территориях района силами ГБУ «Жилищник» будет установлено 44 контейнера для хранения противогололёдных материалов (ПГМ).</w:t>
      </w:r>
    </w:p>
    <w:p>
      <w:pPr>
        <w:pStyle w:val="BodyText"/>
      </w:pPr>
      <w:r>
        <w:t xml:space="preserve">В срок до 15.09.2016 будет дополнительно закуплены 32 контейнера для хранения ПГМ на объектах дорожного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http://chertanovocentr.mos.ru/housing-and-communal-services-and-improvement/gup-des-district-chertanovo-central/detail/3604091.html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604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604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2025-02-11T17:48:51Z</dcterms:created>
  <dcterms:modified xsi:type="dcterms:W3CDTF">2025-02-11T17:48:51Z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