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c25c59ce9b7d22bc4a6ea7ec3ceae8e309674"/>
    <w:p>
      <w:pPr>
        <w:pStyle w:val="Heading3"/>
      </w:pPr>
      <w:r>
        <w:t xml:space="preserve">Объекты,закрепленные за ГБУ «Жилищник района Чертаново Центральное»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соответствии с постановлением Правительства Москвы от 15.11.2011 № 533-ПП в целях обеспечения выполнения работ по содержанию произведений монументального и монументально-декоративного искусства за ГБУ «Жилищник района Чертаново Центральное» закреплены следующие объекты:</w:t>
      </w:r>
    </w:p>
    <w:p>
      <w:pPr>
        <w:pStyle w:val="BodyText"/>
      </w:pPr>
      <w:r>
        <w:t xml:space="preserve">- скульптурная композиция «65-летие начала контрнаступления советских войск под Москвой» (парк 30-летия Победы);</w:t>
      </w:r>
    </w:p>
    <w:p>
      <w:pPr>
        <w:pStyle w:val="BodyText"/>
      </w:pPr>
      <w:r>
        <w:t xml:space="preserve">- памятный знак «Детям-узникам фашистских лагерей» (парк 30-летия Победы;</w:t>
      </w:r>
    </w:p>
    <w:p>
      <w:pPr>
        <w:pStyle w:val="BodyText"/>
      </w:pPr>
      <w:r>
        <w:t xml:space="preserve">- скульптурная группа «Интеркосмос» (станция метро Пражская).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http://chertanovocentr.mos.ru/housing-and-communal-services-and-improvement/gup-des-district-chertanovo-central/detail/6900555.html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00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00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2023-10-10T21:39:24Z</dcterms:created>
  <dcterms:modified xsi:type="dcterms:W3CDTF">2023-10-10T21:39:24Z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