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борка-дворовых-территорий-от-снега"/>
    <w:p>
      <w:pPr>
        <w:pStyle w:val="Heading3"/>
      </w:pPr>
      <w:r>
        <w:t xml:space="preserve">Уборка дворовых территорий от снега</w:t>
      </w:r>
    </w:p>
    <w:p>
      <w:pPr>
        <w:pStyle w:val="FirstParagraph"/>
      </w:pPr>
      <w:r>
        <w:t xml:space="preserve">07.12.2017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На территории района уборка дворовых территорий от снега и наледи осуществляется в соответствии с распоряжением Департамента жилищно-коммунального хозяйства и благоустройства города Москвы от 31.05.2011 № 05-14-324/1 «Об утверждении Регламентов и Технологических карт по механизированной и ручной уборке внутриквартальных проездов и дворовых территорий в зимний период»: в первую очередь очищаются от снега и наледи входные группы подъездов, пешеходные тротуары и внутридворовые проезды. Затем очищаются парковочные карманы. Снег временно складируется на дворовой территории для последующего вывоза на снегоплавильный пункт.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http://chertanovocentr.mos.ru/housing-and-communal-services-and-improvement/gup-des-district-chertanovo-central/detail/7022272.html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7022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7022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2025-08-03T03:24:29Z</dcterms:created>
  <dcterms:modified xsi:type="dcterms:W3CDTF">2025-08-03T03:24:29Z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