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a5d961b036e13a27ee24a5fcbc35fb0b4f269"/>
    <w:p>
      <w:pPr>
        <w:pStyle w:val="Heading3"/>
      </w:pPr>
      <w:r>
        <w:t xml:space="preserve">ПОЛОЖЕНИЕ о Молодежной палате района Чертаново Центральное города Москвы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hyperlink r:id="rId20">
        <w:r>
          <w:rPr>
            <w:rStyle w:val="Hyperlink"/>
          </w:rPr>
          <w:t xml:space="preserve">ПОЛОЖЕНИЕ о Молодежной палате района Чертаново Центральное города Москвы в Южном административном округе города Москвы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http://chertanovocentr.mos.ru/junior-chamber/detail/7080778.html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b0/polozhenie_o_molodezhnoy_palate.doc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junior-chamber/detail/7080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b0/polozhenie_o_molodezhnoy_palate.doc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junior-chamber/detail/7080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2025-02-02T09:37:17Z</dcterms:created>
  <dcterms:modified xsi:type="dcterms:W3CDTF">2025-02-02T09:37:17Z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