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авила-выдачи-резидентных-разрешений"/>
    <w:p>
      <w:pPr>
        <w:pStyle w:val="Heading3"/>
      </w:pPr>
      <w:r>
        <w:t xml:space="preserve">Правила выдачи резидентных разрешений</w:t>
      </w:r>
    </w:p>
    <w:p>
      <w:pPr>
        <w:pStyle w:val="FirstParagraph"/>
      </w:pPr>
      <w:r>
        <w:t xml:space="preserve">20.12.2016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http://chertanovocentr.mos.ru/parking/news/detail/4485243.html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parking/news/detail/44852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parking/news/detail/44852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2023-06-21T23:12:09Z</dcterms:created>
  <dcterms:modified xsi:type="dcterms:W3CDTF">2023-06-21T23:12:09Z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