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ece8f5e1ea353f8be72bda6dabda06375e4be"/>
    <w:p>
      <w:pPr>
        <w:pStyle w:val="Heading3"/>
      </w:pPr>
      <w:r>
        <w:t xml:space="preserve">Решение о введении грузового каркаса на территории Центрального, Западного и Северо-Западного административных округов города Москвы</w:t>
      </w:r>
    </w:p>
    <w:p>
      <w:pPr>
        <w:pStyle w:val="FirstParagraph"/>
      </w:pPr>
      <w:r>
        <w:t xml:space="preserve">29.07.2020</w:t>
      </w:r>
    </w:p>
    <w:p>
      <w:pPr>
        <w:pStyle w:val="BodyText"/>
      </w:pPr>
      <w:r>
        <w:t xml:space="preserve">Департаментом транспорта и развития дорожно-транспортной инфраструктуры города Москвы (далее – Департамент транспорта) принято решение о введении грузового каркаса на территории Центрального, Западного и Северо-Западного административных округов города Москвы с 01.08.2020.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 информации: https://i.transport.mos.ru/gk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3145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522/0001-_1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145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http://chertanovocentr.mos.ru/parking/news/detail/9070993.html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parking/news/detail/9070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parking/news/detail/9070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2025-04-16T19:36:01Z</dcterms:created>
  <dcterms:modified xsi:type="dcterms:W3CDTF">2025-04-16T19:36:01Z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