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</w:t>
      </w:r>
      <w:r>
        <w:t xml:space="preserve"> </w:t>
      </w:r>
      <w:r>
        <w:rPr>
          <w:bCs/>
          <w:b/>
        </w:rPr>
        <w:t xml:space="preserve">имеющие лицензию на розничную продажу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деле, а также помещаемой под таможенную процедуру беспошлинной торговли</w:t>
      </w:r>
      <w:r>
        <w:t xml:space="preserve"> </w:t>
      </w:r>
      <w:r>
        <w:t xml:space="preserve">и зарегистрированные на территории города Москвы представляют декларации по форме 11, а также по форме 12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по форме 12.</w:t>
      </w:r>
    </w:p>
    <w:p>
      <w:pPr>
        <w:pStyle w:val="BodyText"/>
      </w:pPr>
      <w:r>
        <w:t xml:space="preserve"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http://chertanovocentr.mos.ru/presscenter/news/detail/8209798.html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presscenter/news/detail/8209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presscenter/news/detail/8209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2024-04-24T19:49:20Z</dcterms:created>
  <dcterms:modified xsi:type="dcterms:W3CDTF">2024-04-24T19:49:20Z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