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539642ba870b8732e098962830b4bb9d525f36"/>
    <w:p>
      <w:pPr>
        <w:pStyle w:val="Heading3"/>
      </w:pPr>
      <w:r>
        <w:t xml:space="preserve">Проект внесения изменений в правила землепользования и застройки города Москвы в отношении территории по адресу: МЦД-2 «Нахабино-Подольск», участок от МКАД до станции Котляково, ЮАО, ЮЗАО</w:t>
      </w:r>
    </w:p>
    <w:p>
      <w:pPr>
        <w:pStyle w:val="FirstParagraph"/>
      </w:pPr>
      <w:r>
        <w:t xml:space="preserve">23.07.2020</w:t>
      </w:r>
    </w:p>
    <w:p>
      <w:pPr>
        <w:pStyle w:val="BodyText"/>
      </w:pPr>
      <w:r>
        <w:rPr>
          <w:bCs/>
          <w:b/>
        </w:rPr>
        <w:t xml:space="preserve">Проект внесения изменений в правила землепользования и застройки города Москвы в отношении территории по адресу: МЦД-2 «Нахабино-Подольск», участок от МКАД до станции Котляково, ЮАО, ЮЗАО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Этап:</w:t>
      </w:r>
      <w:r>
        <w:t xml:space="preserve"> Экспозиция материалов и возможность участия до 02.08.2020, 23:59</w:t>
      </w:r>
    </w:p>
    <w:p>
      <w:pPr>
        <w:pStyle w:val="BodyText"/>
      </w:pPr>
      <w:r>
        <w:rPr>
          <w:bCs/>
          <w:b/>
        </w:rPr>
        <w:t xml:space="preserve">Границы проведения:</w:t>
      </w:r>
      <w:r>
        <w:t xml:space="preserve"> район Чертаново Южное, район Бирюлёво Восточное, район Бирюлёво Западное, район Чертаново Центральное, район Царицыно, район Северное Бутово, район Южное Бутово</w:t>
      </w:r>
    </w:p>
    <w:p>
      <w:pPr>
        <w:pStyle w:val="BodyText"/>
      </w:pPr>
      <w:r>
        <w:rPr>
          <w:bCs/>
          <w:b/>
        </w:rPr>
        <w:t xml:space="preserve">Связанные общественные обсуждения:</w:t>
      </w:r>
      <w:r>
        <w:br/>
      </w:r>
    </w:p>
    <w:p>
      <w:pPr>
        <w:pStyle w:val="BodyText"/>
      </w:pPr>
      <w:r>
        <w:t xml:space="preserve">- Проект планировки территории, прилегающей к Московским центральным диаметрам: МЦД-2 «Нахабино-Подольск», участок от МКАД до станции Котляково (</w:t>
      </w:r>
      <w:hyperlink r:id="rId20">
        <w:r>
          <w:rPr>
            <w:rStyle w:val="Hyperlink"/>
          </w:rPr>
          <w:t xml:space="preserve">перейти</w:t>
        </w:r>
      </w:hyperlink>
      <w:r>
        <w:t xml:space="preserve">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Описание проекта</w:t>
      </w:r>
    </w:p>
    <w:p>
      <w:pPr>
        <w:pStyle w:val="BodyText"/>
      </w:pPr>
      <w:r>
        <w:t xml:space="preserve">Обсуждение проекта внесения изменений в правила землепользования и застройки города Москвы (ПЗЗ) проводится в связи с рассмотрением проекта планировки территории, прилегающей к Московским центральным диаметрам: МЦД-2 «Нахабино-Подольск», участок от МКАД до станции Котляково.</w:t>
      </w:r>
    </w:p>
    <w:p>
      <w:pPr>
        <w:pStyle w:val="BodyText"/>
      </w:pPr>
      <w:r>
        <w:t xml:space="preserve">Необходимо откорректировать территориальные зоны в соответствии с запланированными проектом мероприятиями с учетом развития железнодорожной инфраструктуры.</w:t>
      </w:r>
    </w:p>
    <w:p>
      <w:pPr>
        <w:pStyle w:val="BodyText"/>
      </w:pPr>
      <w:r>
        <w:t xml:space="preserve">Проект предусматривает создание благоустроенной городской среды на территории, прилегающей к Павелецкому направлению Московской железной дороги, а также к пересечению Павелецкого и Курского направлений Московской железной дороги.</w:t>
      </w:r>
    </w:p>
    <w:p>
      <w:pPr>
        <w:pStyle w:val="BodyText"/>
      </w:pPr>
      <w:r>
        <w:t xml:space="preserve">Одна из основных задач – обеспечить комфортный подход и подъезд к станциям МЦД-2 «Нахабино-Подольск», на участке от МКАД до станции Котляково, улучшить связанность территорий.  Для этого будут организованы дополнительные внеуличные пешеходные переходы.</w:t>
      </w:r>
    </w:p>
    <w:p>
      <w:pPr>
        <w:pStyle w:val="BodyText"/>
      </w:pPr>
      <w:r>
        <w:t xml:space="preserve">На участке проектирования предлагается построить 3 внеуличных пешеходных перехода, обслуживающих проектируемую станцию МЦД-2 «Котляково», внеуличный пешеходный переход около проектируемой отстойно-разворотной площадки, 3 внеуличных пешеходных перехода, обслуживающих существующую станцию МЦД-2 «Покровское», внеуличный пешеходный переход, обслуживающий существующую станцию МЦД-2 «Красный строитель», 2 внеуличных пешеходных перехода для безопасного движения через пути Павелецкого направления Московской железной дороги.</w:t>
      </w:r>
    </w:p>
    <w:p>
      <w:pPr>
        <w:pStyle w:val="BodyText"/>
      </w:pPr>
      <w:r>
        <w:t xml:space="preserve">Для удобства автомобилистов рядом со станцией «Котляково» будут организованы подъездные пути и отстойно-разворотная площадка.</w:t>
      </w:r>
    </w:p>
    <w:p>
      <w:pPr>
        <w:pStyle w:val="BodyText"/>
      </w:pPr>
      <w:r>
        <w:rPr>
          <w:bCs/>
          <w:b/>
        </w:rPr>
        <w:t xml:space="preserve">Разработчик проекта</w:t>
      </w:r>
      <w:r>
        <w:t xml:space="preserve"> – ГБУ «ГлавАПУ».</w:t>
      </w:r>
    </w:p>
    <w:p>
      <w:pPr>
        <w:pStyle w:val="BodyText"/>
      </w:pPr>
      <w:r>
        <w:t xml:space="preserve"> – </w:t>
      </w:r>
      <w:r>
        <w:rPr>
          <w:bCs/>
          <w:b/>
        </w:rPr>
        <w:t xml:space="preserve">Дополнительные материалы проекта: </w:t>
      </w:r>
      <w:hyperlink r:id="rId21">
        <w:r>
          <w:rPr>
            <w:rStyle w:val="Hyperlink"/>
            <w:bCs/>
            <w:b/>
          </w:rPr>
          <w:t xml:space="preserve">скачать</w:t>
        </w:r>
      </w:hyperlink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Источник информации:</w:t>
      </w:r>
      <w:r>
        <w:t xml:space="preserve"> </w:t>
      </w:r>
      <w:hyperlink r:id="rId22">
        <w:r>
          <w:rPr>
            <w:rStyle w:val="Hyperlink"/>
          </w:rPr>
          <w:t xml:space="preserve">https://ag.mos.ru/debate/208</w:t>
        </w:r>
      </w:hyperlink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http://chertanovocentr.mos.ru/public-hearings-public-comment/alerts/detail/9048622.html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centr.mos.ru" TargetMode="External" /><Relationship Type="http://schemas.openxmlformats.org/officeDocument/2006/relationships/hyperlink" Id="rId23" Target="http://chertanovocentr.mos.ru/public-hearings-public-comment/alerts/detail/9048622.html" TargetMode="External" /><Relationship Type="http://schemas.openxmlformats.org/officeDocument/2006/relationships/hyperlink" Id="rId20" Target="https://ag.mos.ru/debate/207" TargetMode="External" /><Relationship Type="http://schemas.openxmlformats.org/officeDocument/2006/relationships/hyperlink" Id="rId22" Target="https://ag.mos.ru/debate/208" TargetMode="External" /><Relationship Type="http://schemas.openxmlformats.org/officeDocument/2006/relationships/hyperlink" Id="rId21" Target="https://cloud.dit.mos.ru/s/0x93MmG2PkzalB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centr.mos.ru" TargetMode="External" /><Relationship Type="http://schemas.openxmlformats.org/officeDocument/2006/relationships/hyperlink" Id="rId23" Target="http://chertanovocentr.mos.ru/public-hearings-public-comment/alerts/detail/9048622.html" TargetMode="External" /><Relationship Type="http://schemas.openxmlformats.org/officeDocument/2006/relationships/hyperlink" Id="rId20" Target="https://ag.mos.ru/debate/207" TargetMode="External" /><Relationship Type="http://schemas.openxmlformats.org/officeDocument/2006/relationships/hyperlink" Id="rId22" Target="https://ag.mos.ru/debate/208" TargetMode="External" /><Relationship Type="http://schemas.openxmlformats.org/officeDocument/2006/relationships/hyperlink" Id="rId21" Target="https://cloud.dit.mos.ru/s/0x93MmG2PkzalB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2025-02-01T03:01:45Z</dcterms:created>
  <dcterms:modified xsi:type="dcterms:W3CDTF">2025-02-01T03:01:45Z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