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ef9643a60367248d24b60d031f6fc45bc16587"/>
    <w:p>
      <w:pPr>
        <w:pStyle w:val="Heading3"/>
      </w:pPr>
      <w:r>
        <w:t xml:space="preserve">Проект планировки территории, прилегающей к Московским центральным диаметрам: МЦД-2 «Нахабино-Подольск», участок от МКАД до станции Котляково</w:t>
      </w:r>
    </w:p>
    <w:p>
      <w:pPr>
        <w:pStyle w:val="FirstParagraph"/>
      </w:pPr>
      <w:r>
        <w:t xml:space="preserve">23.07.2020</w:t>
      </w:r>
    </w:p>
    <w:p>
      <w:pPr>
        <w:pStyle w:val="BodyText"/>
      </w:pPr>
      <w:r>
        <w:rPr>
          <w:bCs/>
          <w:b/>
        </w:rPr>
        <w:t xml:space="preserve">Проект планировки территории, прилегающей к Московским центральным диаметрам: МЦД-2 «Нахабино-Подольск», участок от МКАД до станции Котляково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Этап:</w:t>
      </w:r>
      <w:r>
        <w:t xml:space="preserve"> Экспозиция материалов и возможность участия до 02.08.2020, 23:59</w:t>
      </w:r>
    </w:p>
    <w:p>
      <w:pPr>
        <w:pStyle w:val="BodyText"/>
      </w:pPr>
      <w:r>
        <w:rPr>
          <w:bCs/>
          <w:b/>
        </w:rPr>
        <w:t xml:space="preserve">Границы проведения:</w:t>
      </w:r>
      <w:r>
        <w:t xml:space="preserve"> район Чертаново Южное, район Бирюлёво Восточное, район Бирюлёво Западное, район Чертаново Центральное, район Царицыно, район Северное Бутово, район Южное Бутово</w:t>
      </w:r>
    </w:p>
    <w:p>
      <w:pPr>
        <w:pStyle w:val="BodyText"/>
      </w:pPr>
      <w:r>
        <w:rPr>
          <w:bCs/>
          <w:b/>
        </w:rPr>
        <w:t xml:space="preserve">Связанные общественные обсуждения:</w:t>
      </w:r>
      <w:r>
        <w:br/>
      </w:r>
    </w:p>
    <w:p>
      <w:pPr>
        <w:pStyle w:val="BodyText"/>
      </w:pPr>
      <w:r>
        <w:t xml:space="preserve">- Проект внесения изменений в правила землепользования и застройки города Москвы в отношении территории по адресу: МЦД-2 «Нахабино-Подольск», участок от МКАД до станции Котляково, ЮАО, ЮЗАО (</w:t>
      </w:r>
      <w:hyperlink r:id="rId20">
        <w:r>
          <w:rPr>
            <w:rStyle w:val="Hyperlink"/>
          </w:rPr>
          <w:t xml:space="preserve">перейти</w:t>
        </w:r>
      </w:hyperlink>
      <w:r>
        <w:t xml:space="preserve">)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Описание проекта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Основная цель разработки проекта планировки территории – сделать Московские центральные диаметры доступным и удобным видом транспорта, обеспечить устойчивое развитие прилегающих территорий, гарантировать безопасность движения пешеходов, а также улучшить связность районов и новых городских центров притяжения.</w:t>
      </w:r>
    </w:p>
    <w:p>
      <w:pPr>
        <w:pStyle w:val="BodyText"/>
      </w:pPr>
      <w:r>
        <w:t xml:space="preserve">Московские центральные диаметры – один из крупнейших градостроительных проектов столицы. Диаметральные маршруты связали между собой территории Москвы и ближайшего Подмосковья. Жители получили удобный, быстрый, комфортный вид транспорта, сравнимый с метро и МЦК по уровню пассажирских сервисов. Движение по первоочередным диаметрам Одинцово – Лобня (МЦД-1) и Нахабино – Подольск (МЦД-2) открылось 21 ноября 2019 года. В дальнейшем будут запущены и другие маршруты.</w:t>
      </w:r>
    </w:p>
    <w:p>
      <w:pPr>
        <w:pStyle w:val="BodyText"/>
      </w:pPr>
      <w:r>
        <w:t xml:space="preserve">Проект предусматривает создание благоустроенной городской среды на территории, прилегающей к Московскому центральному диаметру (МЦД-2 Нахабино – Подольск), на участке от МКАД до станции Котляково.</w:t>
      </w:r>
    </w:p>
    <w:p>
      <w:pPr>
        <w:pStyle w:val="BodyText"/>
      </w:pPr>
      <w:r>
        <w:t xml:space="preserve">Одна из основных задач – обеспечить комфортный подход и подъезд к станциям, улучшить связанность территорий.</w:t>
      </w:r>
    </w:p>
    <w:p>
      <w:pPr>
        <w:pStyle w:val="BodyText"/>
      </w:pPr>
      <w:r>
        <w:t xml:space="preserve">На рассматриваемом участке разместятся три существующих остановочных пункта: Битца, Красный Строитель, Покровская и один проектируемый – Котляково.</w:t>
      </w:r>
    </w:p>
    <w:p>
      <w:pPr>
        <w:pStyle w:val="BodyText"/>
      </w:pPr>
      <w:r>
        <w:t xml:space="preserve">Для комфортного доступа жителей к станциям и обслуживания прилегающей территории помимо мероприятий по благоустройству в районе станции Битца предусматривается реконструкция существующих проездов, строительство безопасных надземных пешеходных переходов с выходами на платформу, размещение остановки общественного наземного транспорта с павильоном для пассажиров, устройство комфортного доступа к велопарковке, размещение стоянки такси и устройство разворотной площадки для общественного наземного транспорта.</w:t>
      </w:r>
    </w:p>
    <w:p>
      <w:pPr>
        <w:pStyle w:val="BodyText"/>
      </w:pPr>
      <w:r>
        <w:t xml:space="preserve">В районе станции</w:t>
      </w:r>
      <w:r>
        <w:rPr>
          <w:bCs/>
          <w:b/>
        </w:rPr>
        <w:t xml:space="preserve"> </w:t>
      </w:r>
      <w:r>
        <w:t xml:space="preserve">Красный Строитель предлагается реконструировать Дорожную улицу, через проезжую часть которой будет организован безопасный подземный пешеходный переход.</w:t>
      </w:r>
    </w:p>
    <w:p>
      <w:pPr>
        <w:pStyle w:val="BodyText"/>
      </w:pPr>
      <w:r>
        <w:t xml:space="preserve">Возле остановочного пункта Покровская будет реконструирован 3-й Дорожный проезд, построены безопасные надземные пешеходные переходы с выходами на платформу.</w:t>
      </w:r>
    </w:p>
    <w:p>
      <w:pPr>
        <w:pStyle w:val="BodyText"/>
      </w:pPr>
      <w:r>
        <w:t xml:space="preserve">Проектом также предусмотрено размещение остановок общественного наземного транспорта с павильонами для пассажиров, удачное расположение велопарковки, стоянок такси, обустройство наземной парковки для личного транспорта и устройство разворотной площадки для общественного наземного транспорта.</w:t>
      </w:r>
    </w:p>
    <w:p>
      <w:pPr>
        <w:pStyle w:val="BodyText"/>
      </w:pPr>
      <w:r>
        <w:t xml:space="preserve">В районе станции Котляково</w:t>
      </w:r>
      <w:r>
        <w:rPr>
          <w:bCs/>
          <w:b/>
        </w:rPr>
        <w:t xml:space="preserve"> </w:t>
      </w:r>
      <w:r>
        <w:t xml:space="preserve">предлагается строительство проезда вдоль юго-западной стороны Павелецкого направления Московской железной дороги до станции Котляково с разворотной площадкой и остановками наземного городского пассажирского транспорта.</w:t>
      </w:r>
    </w:p>
    <w:p>
      <w:pPr>
        <w:pStyle w:val="BodyText"/>
      </w:pPr>
      <w:r>
        <w:t xml:space="preserve">Будет реконструирован проезд на продолжении 6-й Радиальной улицы с восточной стороны станции Котляково, появятся безопасные надземные пешеходные переходы с выходом на платформу. Будет построен надземный пешеходный переход через соединительные пути железной дороги. Пассажиры получат легкий доступ к организованной велопарковке и комфортный путь к такси.</w:t>
      </w:r>
    </w:p>
    <w:p>
      <w:pPr>
        <w:pStyle w:val="BodyText"/>
      </w:pPr>
      <w:r>
        <w:t xml:space="preserve">Проектом также предусматривается строительство внеуличных пешеходных переходов через железнодорожные пути Курского направления МЖД, которые обеспечат безопасное пересечение Юго-Восточной хорды вдоль внутренней стороны МКАД, вблизи дома № 48 по Дорожной улице и возле дома № 22 строение 5 по улице Подольских Курсантов.</w:t>
      </w:r>
    </w:p>
    <w:p>
      <w:pPr>
        <w:pStyle w:val="BodyText"/>
      </w:pPr>
      <w:r>
        <w:t xml:space="preserve">Мероприятия, заложенные в проекте, позволят повысить скорость, безопасность и качество пассажирских перевозок. Более гармоничным станет архитектурно-художественный облик территории.</w:t>
      </w:r>
    </w:p>
    <w:p>
      <w:pPr>
        <w:pStyle w:val="BodyText"/>
      </w:pPr>
      <w:r>
        <w:rPr>
          <w:bCs/>
          <w:b/>
        </w:rPr>
        <w:t xml:space="preserve">Разработчик проекта</w:t>
      </w:r>
      <w:r>
        <w:t xml:space="preserve">: ГАУ «Институт Генплана Москвы».</w:t>
      </w:r>
    </w:p>
    <w:p>
      <w:pPr>
        <w:pStyle w:val="BodyText"/>
      </w:pPr>
      <w:r>
        <w:rPr>
          <w:bCs/>
          <w:b/>
        </w:rPr>
        <w:t xml:space="preserve">Площадь проектируемой территории: </w:t>
      </w:r>
      <w:r>
        <w:t xml:space="preserve">327,1 га.</w:t>
      </w:r>
    </w:p>
    <w:p>
      <w:pPr>
        <w:pStyle w:val="BodyText"/>
      </w:pPr>
      <w:r>
        <w:t xml:space="preserve"> – </w:t>
      </w:r>
      <w:r>
        <w:rPr>
          <w:bCs/>
          <w:b/>
        </w:rPr>
        <w:t xml:space="preserve">Дополнительные материалы проекта: </w:t>
      </w:r>
      <w:hyperlink r:id="rId21">
        <w:r>
          <w:rPr>
            <w:rStyle w:val="Hyperlink"/>
            <w:bCs/>
            <w:b/>
          </w:rPr>
          <w:t xml:space="preserve">скачать</w:t>
        </w:r>
      </w:hyperlink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Источник информации:</w:t>
      </w:r>
      <w:r>
        <w:t xml:space="preserve"> </w:t>
      </w:r>
      <w:hyperlink r:id="rId22">
        <w:r>
          <w:rPr>
            <w:rStyle w:val="Hyperlink"/>
          </w:rPr>
          <w:t xml:space="preserve">https://ag.mos.ru/debate/207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http://chertanovocentr.mos.ru/public-hearings-public-comment/alerts/detail/9048686.html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ublic-hearings-public-comment/alerts/detail/9048686.html" TargetMode="External" /><Relationship Type="http://schemas.openxmlformats.org/officeDocument/2006/relationships/hyperlink" Id="rId22" Target="https://ag.mos.ru/debate/207" TargetMode="External" /><Relationship Type="http://schemas.openxmlformats.org/officeDocument/2006/relationships/hyperlink" Id="rId20" Target="https://ag.mos.ru/debate/208" TargetMode="External" /><Relationship Type="http://schemas.openxmlformats.org/officeDocument/2006/relationships/hyperlink" Id="rId21" Target="https://cloud.dit.mos.ru/s/85wEvMRLdyAYwB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centr.mos.ru" TargetMode="External" /><Relationship Type="http://schemas.openxmlformats.org/officeDocument/2006/relationships/hyperlink" Id="rId23" Target="http://chertanovocentr.mos.ru/public-hearings-public-comment/alerts/detail/9048686.html" TargetMode="External" /><Relationship Type="http://schemas.openxmlformats.org/officeDocument/2006/relationships/hyperlink" Id="rId22" Target="https://ag.mos.ru/debate/207" TargetMode="External" /><Relationship Type="http://schemas.openxmlformats.org/officeDocument/2006/relationships/hyperlink" Id="rId20" Target="https://ag.mos.ru/debate/208" TargetMode="External" /><Relationship Type="http://schemas.openxmlformats.org/officeDocument/2006/relationships/hyperlink" Id="rId21" Target="https://cloud.dit.mos.ru/s/85wEvMRLdyAYwB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2025-06-20T14:34:14Z</dcterms:created>
  <dcterms:modified xsi:type="dcterms:W3CDTF">2025-06-20T14:34:14Z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