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лан-график-проведения-вакцинации"/>
    <w:p>
      <w:pPr>
        <w:pStyle w:val="Heading3"/>
      </w:pPr>
      <w:r>
        <w:t xml:space="preserve">План-график проведения вакцинации</w:t>
      </w:r>
    </w:p>
    <w:p>
      <w:pPr>
        <w:pStyle w:val="FirstParagraph"/>
      </w:pPr>
      <w:r>
        <w:t xml:space="preserve">23.11.2017</w:t>
      </w:r>
    </w:p>
    <w:p>
      <w:pPr>
        <w:pStyle w:val="BodyText"/>
      </w:pPr>
      <w:hyperlink r:id="rId20">
        <w:r>
          <w:rPr>
            <w:rStyle w:val="Hyperlink"/>
          </w:rPr>
          <w:t xml:space="preserve">План-график проведения вакцинации против бешенства собак и кошек на прививочных пунктах в Южном административном округе города Москвы в 2018 году   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http://chertanovocentr.mos.ru/social-sphere/ads/detail/6992823.html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df/grafik-privivochnykh-punktov-na-2018g-yuao.xls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social-sphere/ads/detail/6992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df/grafik-privivochnykh-punktov-na-2018g-yuao.xls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social-sphere/ads/detail/6992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2025-02-22T02:09:06Z</dcterms:created>
  <dcterms:modified xsi:type="dcterms:W3CDTF">2025-02-22T02:09:06Z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