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7a676ecfdaa8ca41a8941612bc3fb5896ed2f3"/>
    <w:p>
      <w:pPr>
        <w:pStyle w:val="Heading3"/>
      </w:pPr>
      <w:r>
        <w:t xml:space="preserve">Рекомендации по осуществлению комплекса мер по недопущению поведения должностными лицами</w:t>
      </w:r>
    </w:p>
    <w:p>
      <w:pPr>
        <w:pStyle w:val="FirstParagraph"/>
      </w:pPr>
      <w:r>
        <w:t xml:space="preserve">17.04.2014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http://chertanovocentr.mos.ru/the-counter-corrupci/methodical-materials/detail/1007466.html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Центральное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the-counter-corrupci/methodical-materials/detail/10074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centr.mos.ru" TargetMode="External" /><Relationship Type="http://schemas.openxmlformats.org/officeDocument/2006/relationships/hyperlink" Id="rId20" Target="http://chertanovocentr.mos.ru/the-counter-corrupci/methodical-materials/detail/10074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2025-01-31T18:52:51Z</dcterms:created>
  <dcterms:modified xsi:type="dcterms:W3CDTF">2025-01-31T18:52:51Z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