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ae8ccd18b33d31ea1dc01b2be2fef6e80485f"/>
    <w:p>
      <w:pPr>
        <w:pStyle w:val="Heading3"/>
      </w:pPr>
      <w:r>
        <w:t xml:space="preserve">Административная ответственность юридических лиц за совершение правонарушений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t xml:space="preserve">Буклет: </w:t>
      </w:r>
      <w:hyperlink r:id="rId20">
        <w:r>
          <w:rPr>
            <w:rStyle w:val="Hyperlink"/>
          </w:rPr>
          <w:t xml:space="preserve">Административная ответственность юридических лиц за совершение правонарушений коррупционной направленности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http://chertanovocentr.mos.ru/the-counter-corrupci/methodical-materials/detail/7818473.html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ff/yurlica_2017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the-counter-corrupci/methodical-materials/detail/7818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ff/yurlica_2017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the-counter-corrupci/methodical-materials/detail/7818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2023-11-04T03:12:45Z</dcterms:created>
  <dcterms:modified xsi:type="dcterms:W3CDTF">2023-11-04T03:12:45Z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